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F0" w:rsidRPr="005B2279" w:rsidRDefault="00242136" w:rsidP="005D27F0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en-GB"/>
        </w:rPr>
        <w:t>+</w:t>
      </w:r>
      <w:r w:rsidR="005D27F0" w:rsidRPr="005B2279">
        <w:rPr>
          <w:rFonts w:ascii="Arial" w:hAnsi="Arial" w:cs="Arial"/>
          <w:b/>
          <w:sz w:val="18"/>
          <w:szCs w:val="18"/>
          <w:lang w:val="en-GB"/>
        </w:rPr>
        <w:t xml:space="preserve">England Netball Safeguarding </w:t>
      </w:r>
      <w:r w:rsidR="002E0421" w:rsidRPr="005B2279">
        <w:rPr>
          <w:rFonts w:ascii="Arial" w:hAnsi="Arial" w:cs="Arial"/>
          <w:b/>
          <w:sz w:val="18"/>
          <w:szCs w:val="18"/>
          <w:lang w:val="en-GB"/>
        </w:rPr>
        <w:t xml:space="preserve">Check List </w:t>
      </w: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CC342D" w:rsidP="005D27F0">
      <w:pPr>
        <w:rPr>
          <w:rFonts w:ascii="Arial" w:hAnsi="Arial" w:cs="Arial"/>
          <w:b/>
          <w:sz w:val="18"/>
          <w:szCs w:val="18"/>
          <w:lang w:val="en-GB"/>
        </w:rPr>
      </w:pPr>
      <w:r w:rsidRPr="005B2279">
        <w:rPr>
          <w:rFonts w:ascii="Arial" w:hAnsi="Arial" w:cs="Arial"/>
          <w:b/>
          <w:sz w:val="18"/>
          <w:szCs w:val="18"/>
          <w:lang w:val="en-GB"/>
        </w:rPr>
        <w:t>Section 2.</w:t>
      </w:r>
      <w:r w:rsidR="001948CD">
        <w:rPr>
          <w:rFonts w:ascii="Arial" w:hAnsi="Arial" w:cs="Arial"/>
          <w:b/>
          <w:sz w:val="18"/>
          <w:szCs w:val="18"/>
          <w:lang w:val="en-GB"/>
        </w:rPr>
        <w:t>8</w:t>
      </w:r>
      <w:r w:rsidRPr="005B227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D27F0" w:rsidRPr="005B2279">
        <w:rPr>
          <w:rFonts w:ascii="Arial" w:hAnsi="Arial" w:cs="Arial"/>
          <w:b/>
          <w:sz w:val="18"/>
          <w:szCs w:val="18"/>
          <w:lang w:val="en-GB"/>
        </w:rPr>
        <w:t xml:space="preserve">Affiliated Clubs Must: </w:t>
      </w: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W w:w="5000" w:type="pct"/>
        <w:tblBorders>
          <w:top w:val="single" w:sz="18" w:space="0" w:color="F3C429"/>
          <w:left w:val="single" w:sz="18" w:space="0" w:color="F3C429"/>
          <w:bottom w:val="single" w:sz="18" w:space="0" w:color="F3C429"/>
          <w:right w:val="single" w:sz="18" w:space="0" w:color="F3C429"/>
          <w:insideH w:val="single" w:sz="18" w:space="0" w:color="F3C429"/>
          <w:insideV w:val="single" w:sz="18" w:space="0" w:color="F3C429"/>
        </w:tblBorders>
        <w:tblLook w:val="01E0" w:firstRow="1" w:lastRow="1" w:firstColumn="1" w:lastColumn="1" w:noHBand="0" w:noVBand="0"/>
      </w:tblPr>
      <w:tblGrid>
        <w:gridCol w:w="617"/>
        <w:gridCol w:w="10985"/>
        <w:gridCol w:w="1312"/>
      </w:tblGrid>
      <w:tr w:rsidR="00CC342D" w:rsidRPr="005B2279" w:rsidTr="00CC342D">
        <w:tc>
          <w:tcPr>
            <w:tcW w:w="239" w:type="pct"/>
            <w:shd w:val="clear" w:color="auto" w:fill="F6CF58"/>
          </w:tcPr>
          <w:p w:rsidR="00CC342D" w:rsidRPr="005B2279" w:rsidRDefault="00CC342D" w:rsidP="00E6591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shd w:val="clear" w:color="auto" w:fill="F6CF58"/>
          </w:tcPr>
          <w:p w:rsidR="00CC342D" w:rsidRPr="005B2279" w:rsidRDefault="005B2279" w:rsidP="00E6591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CAPS </w:t>
            </w:r>
            <w:r w:rsidR="00CC342D"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508" w:type="pct"/>
            <w:shd w:val="clear" w:color="auto" w:fill="F6CF58"/>
          </w:tcPr>
          <w:p w:rsidR="00CC342D" w:rsidRPr="005B2279" w:rsidRDefault="00CC342D" w:rsidP="00CC34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tick to </w:t>
            </w:r>
            <w:r w:rsidR="005B2279"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</w:t>
            </w: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</w:p>
        </w:tc>
      </w:tr>
      <w:tr w:rsidR="005B2279" w:rsidRPr="005B2279" w:rsidTr="005B2279">
        <w:trPr>
          <w:trHeight w:val="375"/>
        </w:trPr>
        <w:tc>
          <w:tcPr>
            <w:tcW w:w="239" w:type="pct"/>
            <w:vMerge w:val="restart"/>
            <w:shd w:val="clear" w:color="auto" w:fill="F6CF58"/>
          </w:tcPr>
          <w:p w:rsidR="005B2279" w:rsidRPr="005B2279" w:rsidRDefault="005B2279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.1</w:t>
            </w:r>
          </w:p>
        </w:tc>
        <w:tc>
          <w:tcPr>
            <w:tcW w:w="4253" w:type="pct"/>
            <w:tcBorders>
              <w:bottom w:val="single" w:sz="4" w:space="0" w:color="FFC000" w:themeColor="accent4"/>
            </w:tcBorders>
            <w:shd w:val="clear" w:color="auto" w:fill="auto"/>
          </w:tcPr>
          <w:p w:rsidR="005B2279" w:rsidRPr="005B2279" w:rsidRDefault="005B2279" w:rsidP="005D27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Appoint a Club Safeguarding Officer (CSO) in line with the England Netball </w:t>
            </w:r>
            <w:hyperlink r:id="rId5" w:history="1">
              <w:r w:rsidRPr="00594EE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CSO Role description</w:t>
              </w:r>
              <w:r w:rsidR="00A30838" w:rsidRPr="00594EE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. </w:t>
              </w:r>
            </w:hyperlink>
          </w:p>
          <w:p w:rsidR="005B2279" w:rsidRPr="005B2279" w:rsidRDefault="005B2279" w:rsidP="005D27F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CSO must </w:t>
            </w:r>
          </w:p>
        </w:tc>
        <w:tc>
          <w:tcPr>
            <w:tcW w:w="508" w:type="pct"/>
            <w:tcBorders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238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5B2279" w:rsidP="005B2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Be affiliate</w:t>
            </w:r>
            <w:r w:rsidR="00D82ABE">
              <w:rPr>
                <w:rFonts w:ascii="Arial" w:hAnsi="Arial" w:cs="Arial"/>
                <w:b/>
                <w:sz w:val="18"/>
                <w:szCs w:val="18"/>
                <w:lang w:val="en-GB"/>
              </w:rPr>
              <w:t>d</w:t>
            </w: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to England Netball</w:t>
            </w:r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75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5B2279" w:rsidP="005B2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Hold a current DBS check</w:t>
            </w:r>
            <w:r w:rsidR="00D82AB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(renewable every 3 years)</w:t>
            </w:r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218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5B2279" w:rsidP="005B2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Attend safeguarding training in line with </w:t>
            </w:r>
            <w:hyperlink r:id="rId6" w:history="1">
              <w:r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EN policy</w:t>
              </w:r>
            </w:hyperlink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Ie</w:t>
            </w:r>
            <w:proofErr w:type="spellEnd"/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. Time to Listen)</w:t>
            </w:r>
          </w:p>
        </w:tc>
        <w:tc>
          <w:tcPr>
            <w:tcW w:w="508" w:type="pct"/>
            <w:tcBorders>
              <w:top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5B2279">
        <w:trPr>
          <w:trHeight w:val="108"/>
        </w:trPr>
        <w:tc>
          <w:tcPr>
            <w:tcW w:w="239" w:type="pct"/>
            <w:vMerge w:val="restart"/>
            <w:shd w:val="clear" w:color="auto" w:fill="F6CF58"/>
          </w:tcPr>
          <w:p w:rsidR="00CC342D" w:rsidRPr="005B2279" w:rsidRDefault="00CC342D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Pr="005B2279">
              <w:rPr>
                <w:rFonts w:ascii="Arial" w:hAnsi="Arial" w:cs="Arial"/>
                <w:b/>
                <w:sz w:val="18"/>
                <w:szCs w:val="18"/>
                <w:lang w:val="en-GB"/>
              </w:rPr>
              <w:t>.2</w:t>
            </w:r>
          </w:p>
        </w:tc>
        <w:tc>
          <w:tcPr>
            <w:tcW w:w="4253" w:type="pct"/>
            <w:tcBorders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CC342D" w:rsidRPr="005B2279" w:rsidRDefault="00CC342D" w:rsidP="005B22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Adopt and implement the following England Netball Policies </w:t>
            </w:r>
          </w:p>
        </w:tc>
        <w:tc>
          <w:tcPr>
            <w:tcW w:w="508" w:type="pct"/>
            <w:tcBorders>
              <w:bottom w:val="single" w:sz="4" w:space="0" w:color="FFC000" w:themeColor="accent4"/>
            </w:tcBorders>
          </w:tcPr>
          <w:p w:rsidR="00CC342D" w:rsidRPr="005B2279" w:rsidRDefault="00CC342D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5B2279">
        <w:trPr>
          <w:trHeight w:val="170"/>
        </w:trPr>
        <w:tc>
          <w:tcPr>
            <w:tcW w:w="239" w:type="pct"/>
            <w:vMerge/>
            <w:shd w:val="clear" w:color="auto" w:fill="F6CF58"/>
          </w:tcPr>
          <w:p w:rsidR="00CC342D" w:rsidRPr="005B2279" w:rsidRDefault="00CC342D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CC342D" w:rsidRPr="005B2279" w:rsidRDefault="00C31C92" w:rsidP="005B22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7" w:history="1">
              <w:r w:rsidR="00CC342D" w:rsidRPr="00594EE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Safeguarding and Protecting Young People in Netball Policy</w:t>
              </w:r>
              <w:r w:rsidR="00D82ABE" w:rsidRPr="00594EE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 and have a clear reporting line for any concerns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vAlign w:val="center"/>
          </w:tcPr>
          <w:p w:rsidR="00CC342D" w:rsidRPr="005B2279" w:rsidRDefault="00CC342D" w:rsidP="002E042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5B2279">
        <w:trPr>
          <w:trHeight w:val="170"/>
        </w:trPr>
        <w:tc>
          <w:tcPr>
            <w:tcW w:w="239" w:type="pct"/>
            <w:vMerge/>
            <w:shd w:val="clear" w:color="auto" w:fill="F6CF58"/>
          </w:tcPr>
          <w:p w:rsidR="00CC342D" w:rsidRPr="005B2279" w:rsidRDefault="00CC342D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CC342D" w:rsidRPr="005B2279" w:rsidRDefault="00C31C92" w:rsidP="005B22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8" w:history="1">
              <w:r w:rsidR="00CC342D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Adults at Risk in Netball Policy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vAlign w:val="center"/>
          </w:tcPr>
          <w:p w:rsidR="00CC342D" w:rsidRPr="005B2279" w:rsidRDefault="00CC342D" w:rsidP="002E042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5B2279">
        <w:trPr>
          <w:trHeight w:val="170"/>
        </w:trPr>
        <w:tc>
          <w:tcPr>
            <w:tcW w:w="239" w:type="pct"/>
            <w:vMerge/>
            <w:shd w:val="clear" w:color="auto" w:fill="F6CF58"/>
          </w:tcPr>
          <w:p w:rsidR="00CC342D" w:rsidRPr="005B2279" w:rsidRDefault="00CC342D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</w:tcBorders>
            <w:shd w:val="clear" w:color="auto" w:fill="auto"/>
            <w:vAlign w:val="center"/>
          </w:tcPr>
          <w:p w:rsidR="00CC342D" w:rsidRPr="005B2279" w:rsidRDefault="00C31C92" w:rsidP="005B22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9" w:history="1">
              <w:r w:rsidR="00CC342D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Inclusion Policy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</w:tcBorders>
            <w:vAlign w:val="center"/>
          </w:tcPr>
          <w:p w:rsidR="00CC342D" w:rsidRPr="005B2279" w:rsidRDefault="00CC342D" w:rsidP="002E042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222"/>
        </w:trPr>
        <w:tc>
          <w:tcPr>
            <w:tcW w:w="239" w:type="pct"/>
            <w:vMerge w:val="restart"/>
            <w:shd w:val="clear" w:color="auto" w:fill="F6CF58"/>
          </w:tcPr>
          <w:p w:rsidR="005B2279" w:rsidRPr="005B2279" w:rsidRDefault="005B2279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.3</w:t>
            </w:r>
          </w:p>
        </w:tc>
        <w:tc>
          <w:tcPr>
            <w:tcW w:w="4253" w:type="pct"/>
            <w:tcBorders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5B2279" w:rsidP="005B22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Implement a policy of Best Practice by adopting the following policies </w:t>
            </w:r>
          </w:p>
        </w:tc>
        <w:tc>
          <w:tcPr>
            <w:tcW w:w="508" w:type="pct"/>
            <w:tcBorders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25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0" w:history="1">
              <w:r w:rsidR="005B2279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Social Media Policy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49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1" w:history="1">
              <w:r w:rsidR="005B2279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Anti-Bullying </w:t>
              </w:r>
              <w:r w:rsidR="00A30838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and Harassment </w:t>
              </w:r>
              <w:r w:rsidR="005B2279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Policy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238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2" w:history="1">
              <w:r w:rsidR="005B2279" w:rsidRPr="00594EE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Taking &amp; Use of Photographic Images Policy  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37"/>
        </w:trPr>
        <w:tc>
          <w:tcPr>
            <w:tcW w:w="239" w:type="pct"/>
            <w:vMerge w:val="restart"/>
            <w:shd w:val="clear" w:color="auto" w:fill="F6CF58"/>
          </w:tcPr>
          <w:p w:rsidR="005B2279" w:rsidRPr="005B2279" w:rsidRDefault="005B2279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.4</w:t>
            </w: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5B2279" w:rsidP="005B22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Adopt and embed the England Netball Codes of Conducts for the following groups </w:t>
            </w:r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12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13" w:history="1">
              <w:r w:rsidR="005B2279" w:rsidRPr="00594EE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Code of Conduct for Parents 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87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14" w:history="1">
              <w:r w:rsidR="005B2279" w:rsidRPr="00594EE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 xml:space="preserve">Code of Conduct for Players 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  <w:bottom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B2279" w:rsidRPr="005B2279" w:rsidTr="005B2279">
        <w:trPr>
          <w:trHeight w:val="120"/>
        </w:trPr>
        <w:tc>
          <w:tcPr>
            <w:tcW w:w="239" w:type="pct"/>
            <w:vMerge/>
            <w:shd w:val="clear" w:color="auto" w:fill="F6CF58"/>
          </w:tcPr>
          <w:p w:rsidR="005B2279" w:rsidRPr="005B2279" w:rsidRDefault="005B2279" w:rsidP="00E659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pct"/>
            <w:tcBorders>
              <w:top w:val="single" w:sz="4" w:space="0" w:color="FFC000" w:themeColor="accent4"/>
            </w:tcBorders>
            <w:shd w:val="clear" w:color="auto" w:fill="auto"/>
            <w:vAlign w:val="center"/>
          </w:tcPr>
          <w:p w:rsidR="005B2279" w:rsidRPr="005B2279" w:rsidRDefault="00C31C92" w:rsidP="005B22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hyperlink r:id="rId15" w:history="1">
              <w:r w:rsidR="005B2279" w:rsidRPr="00A3083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Code Of Conduct for Coaches, Officials and Volunteers</w:t>
              </w:r>
            </w:hyperlink>
          </w:p>
        </w:tc>
        <w:tc>
          <w:tcPr>
            <w:tcW w:w="508" w:type="pct"/>
            <w:tcBorders>
              <w:top w:val="single" w:sz="4" w:space="0" w:color="FFC000" w:themeColor="accent4"/>
            </w:tcBorders>
          </w:tcPr>
          <w:p w:rsidR="005B2279" w:rsidRPr="005B2279" w:rsidRDefault="005B2279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CC342D">
        <w:trPr>
          <w:trHeight w:val="183"/>
        </w:trPr>
        <w:tc>
          <w:tcPr>
            <w:tcW w:w="239" w:type="pct"/>
            <w:shd w:val="clear" w:color="auto" w:fill="F6CF58"/>
          </w:tcPr>
          <w:p w:rsidR="00CC342D" w:rsidRPr="005B2279" w:rsidRDefault="005B2279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.5</w:t>
            </w:r>
          </w:p>
        </w:tc>
        <w:tc>
          <w:tcPr>
            <w:tcW w:w="4253" w:type="pct"/>
            <w:tcBorders>
              <w:top w:val="single" w:sz="4" w:space="0" w:color="FFC000" w:themeColor="accent4"/>
            </w:tcBorders>
            <w:shd w:val="clear" w:color="auto" w:fill="auto"/>
          </w:tcPr>
          <w:p w:rsidR="00CC342D" w:rsidRPr="005B2279" w:rsidRDefault="00CC342D" w:rsidP="00A3083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>Ensure all committee and club members are aware of these policies</w:t>
            </w:r>
            <w:r w:rsidR="003A4F8B">
              <w:rPr>
                <w:rFonts w:ascii="Arial" w:hAnsi="Arial" w:cs="Arial"/>
                <w:sz w:val="18"/>
                <w:szCs w:val="18"/>
                <w:lang w:val="en-GB"/>
              </w:rPr>
              <w:t xml:space="preserve"> and codes of conduct</w:t>
            </w: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, aware of their </w:t>
            </w:r>
            <w:r w:rsidR="003A4F8B">
              <w:rPr>
                <w:rFonts w:ascii="Arial" w:hAnsi="Arial" w:cs="Arial"/>
                <w:sz w:val="18"/>
                <w:szCs w:val="18"/>
                <w:lang w:val="en-GB"/>
              </w:rPr>
              <w:t xml:space="preserve">own </w:t>
            </w: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responsibilities, and </w:t>
            </w:r>
            <w:r w:rsidR="00A30838">
              <w:rPr>
                <w:rFonts w:ascii="Arial" w:hAnsi="Arial" w:cs="Arial"/>
                <w:sz w:val="18"/>
                <w:szCs w:val="18"/>
                <w:lang w:val="en-GB"/>
              </w:rPr>
              <w:t>club</w:t>
            </w: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 support</w:t>
            </w:r>
            <w:r w:rsidR="00A30838">
              <w:rPr>
                <w:rFonts w:ascii="Arial" w:hAnsi="Arial" w:cs="Arial"/>
                <w:sz w:val="18"/>
                <w:szCs w:val="18"/>
                <w:lang w:val="en-GB"/>
              </w:rPr>
              <w:t>s its</w:t>
            </w: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members </w:t>
            </w:r>
            <w:r w:rsidR="003A4F8B">
              <w:rPr>
                <w:rFonts w:ascii="Arial" w:hAnsi="Arial" w:cs="Arial"/>
                <w:sz w:val="18"/>
                <w:szCs w:val="18"/>
                <w:lang w:val="en-GB"/>
              </w:rPr>
              <w:t xml:space="preserve">to access </w:t>
            </w: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>training opportunities in relation to these</w:t>
            </w:r>
            <w:r w:rsidR="003A4F8B">
              <w:rPr>
                <w:rFonts w:ascii="Arial" w:hAnsi="Arial" w:cs="Arial"/>
                <w:sz w:val="18"/>
                <w:szCs w:val="18"/>
                <w:lang w:val="en-GB"/>
              </w:rPr>
              <w:t xml:space="preserve"> based on their role </w:t>
            </w:r>
            <w:r w:rsidR="00A30838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3A4F8B">
              <w:rPr>
                <w:rFonts w:ascii="Arial" w:hAnsi="Arial" w:cs="Arial"/>
                <w:sz w:val="18"/>
                <w:szCs w:val="18"/>
                <w:lang w:val="en-GB"/>
              </w:rPr>
              <w:t>in the club</w:t>
            </w:r>
          </w:p>
        </w:tc>
        <w:tc>
          <w:tcPr>
            <w:tcW w:w="508" w:type="pct"/>
            <w:tcBorders>
              <w:top w:val="single" w:sz="4" w:space="0" w:color="FFC000" w:themeColor="accent4"/>
            </w:tcBorders>
          </w:tcPr>
          <w:p w:rsidR="00CC342D" w:rsidRPr="005B2279" w:rsidRDefault="00CC342D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342D" w:rsidRPr="005B2279" w:rsidTr="00CC342D">
        <w:tc>
          <w:tcPr>
            <w:tcW w:w="239" w:type="pct"/>
            <w:shd w:val="clear" w:color="auto" w:fill="F6CF58"/>
          </w:tcPr>
          <w:p w:rsidR="00CC342D" w:rsidRPr="005B2279" w:rsidRDefault="005B2279" w:rsidP="001948C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1948CD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.6</w:t>
            </w:r>
          </w:p>
        </w:tc>
        <w:tc>
          <w:tcPr>
            <w:tcW w:w="4253" w:type="pct"/>
            <w:shd w:val="clear" w:color="auto" w:fill="auto"/>
          </w:tcPr>
          <w:p w:rsidR="00CC342D" w:rsidRPr="005B2279" w:rsidRDefault="00CC342D" w:rsidP="005A6B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Ensure that all relevant club members who have regular supervisory contact classed as Regulated Activity including CSO and coaches, undertake an Enhanced with Children’s Barred List </w:t>
            </w:r>
            <w:hyperlink r:id="rId16" w:history="1">
              <w:r w:rsidRPr="00A30838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DBS</w:t>
              </w:r>
            </w:hyperlink>
            <w:r w:rsidRPr="005B2279">
              <w:rPr>
                <w:rFonts w:ascii="Arial" w:hAnsi="Arial" w:cs="Arial"/>
                <w:sz w:val="18"/>
                <w:szCs w:val="18"/>
                <w:lang w:val="en-GB"/>
              </w:rPr>
              <w:t xml:space="preserve"> check with EN’s umbrella DBS-checking company.</w:t>
            </w:r>
          </w:p>
        </w:tc>
        <w:tc>
          <w:tcPr>
            <w:tcW w:w="508" w:type="pct"/>
          </w:tcPr>
          <w:p w:rsidR="00CC342D" w:rsidRPr="005B2279" w:rsidRDefault="00CC342D" w:rsidP="00E659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  <w:r w:rsidRPr="005B2279">
        <w:rPr>
          <w:rFonts w:ascii="Arial" w:hAnsi="Arial" w:cs="Arial"/>
          <w:b/>
          <w:sz w:val="18"/>
          <w:szCs w:val="18"/>
          <w:lang w:val="en-GB"/>
        </w:rPr>
        <w:t xml:space="preserve">Signed: </w:t>
      </w: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  <w:r w:rsidRPr="005B2279">
        <w:rPr>
          <w:rFonts w:ascii="Arial" w:hAnsi="Arial" w:cs="Arial"/>
          <w:b/>
          <w:sz w:val="18"/>
          <w:szCs w:val="18"/>
          <w:lang w:val="en-GB"/>
        </w:rPr>
        <w:t>Position:                                                                                      Date:</w:t>
      </w: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  <w:r w:rsidRPr="005B2279">
        <w:rPr>
          <w:rFonts w:ascii="Arial" w:hAnsi="Arial" w:cs="Arial"/>
          <w:b/>
          <w:sz w:val="18"/>
          <w:szCs w:val="18"/>
          <w:lang w:val="en-GB"/>
        </w:rPr>
        <w:t>Signed:</w:t>
      </w: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</w:p>
    <w:p w:rsidR="005D27F0" w:rsidRPr="005B2279" w:rsidRDefault="005D27F0" w:rsidP="005D27F0">
      <w:pPr>
        <w:rPr>
          <w:rFonts w:ascii="Arial" w:hAnsi="Arial" w:cs="Arial"/>
          <w:b/>
          <w:sz w:val="18"/>
          <w:szCs w:val="18"/>
          <w:lang w:val="en-GB"/>
        </w:rPr>
      </w:pPr>
      <w:r w:rsidRPr="005B2279">
        <w:rPr>
          <w:rFonts w:ascii="Arial" w:hAnsi="Arial" w:cs="Arial"/>
          <w:b/>
          <w:sz w:val="18"/>
          <w:szCs w:val="18"/>
          <w:lang w:val="en-GB"/>
        </w:rPr>
        <w:t xml:space="preserve">Position:                                                                                      Date:  </w:t>
      </w:r>
    </w:p>
    <w:p w:rsidR="00A93DE2" w:rsidRPr="005B2279" w:rsidRDefault="00A93DE2">
      <w:pPr>
        <w:rPr>
          <w:rFonts w:ascii="Arial" w:hAnsi="Arial" w:cs="Arial"/>
          <w:sz w:val="18"/>
          <w:szCs w:val="18"/>
        </w:rPr>
      </w:pPr>
    </w:p>
    <w:p w:rsidR="005B2279" w:rsidRPr="005B2279" w:rsidRDefault="005B2279">
      <w:pPr>
        <w:rPr>
          <w:rFonts w:ascii="Arial" w:hAnsi="Arial" w:cs="Arial"/>
          <w:sz w:val="18"/>
          <w:szCs w:val="18"/>
        </w:rPr>
      </w:pPr>
      <w:r w:rsidRPr="005B2279">
        <w:rPr>
          <w:rFonts w:ascii="Arial" w:hAnsi="Arial" w:cs="Arial"/>
          <w:sz w:val="18"/>
          <w:szCs w:val="18"/>
        </w:rPr>
        <w:t xml:space="preserve">All information and relevant documents are available on the </w:t>
      </w:r>
      <w:hyperlink r:id="rId17" w:history="1">
        <w:r w:rsidRPr="00594EE4">
          <w:rPr>
            <w:rStyle w:val="Hyperlink"/>
            <w:rFonts w:ascii="Arial" w:hAnsi="Arial" w:cs="Arial"/>
            <w:sz w:val="18"/>
            <w:szCs w:val="18"/>
          </w:rPr>
          <w:t xml:space="preserve">Safeguarding Section </w:t>
        </w:r>
      </w:hyperlink>
      <w:r w:rsidRPr="005B2279">
        <w:rPr>
          <w:rFonts w:ascii="Arial" w:hAnsi="Arial" w:cs="Arial"/>
          <w:sz w:val="18"/>
          <w:szCs w:val="18"/>
        </w:rPr>
        <w:t xml:space="preserve">of the England Netball website </w:t>
      </w:r>
    </w:p>
    <w:sectPr w:rsidR="005B2279" w:rsidRPr="005B2279" w:rsidSect="008D01C6">
      <w:pgSz w:w="15840" w:h="12240" w:orient="landscape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044"/>
    <w:multiLevelType w:val="hybridMultilevel"/>
    <w:tmpl w:val="29282698"/>
    <w:lvl w:ilvl="0" w:tplc="DB585E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CA6"/>
    <w:multiLevelType w:val="hybridMultilevel"/>
    <w:tmpl w:val="BAE45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FF4"/>
    <w:multiLevelType w:val="hybridMultilevel"/>
    <w:tmpl w:val="F7C4DFB8"/>
    <w:lvl w:ilvl="0" w:tplc="28F8095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3552D"/>
    <w:multiLevelType w:val="hybridMultilevel"/>
    <w:tmpl w:val="EE40B4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65F"/>
    <w:multiLevelType w:val="hybridMultilevel"/>
    <w:tmpl w:val="B94AC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5DA7"/>
    <w:multiLevelType w:val="hybridMultilevel"/>
    <w:tmpl w:val="4F3067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91B0E"/>
    <w:multiLevelType w:val="hybridMultilevel"/>
    <w:tmpl w:val="225EE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0D38"/>
    <w:multiLevelType w:val="hybridMultilevel"/>
    <w:tmpl w:val="83DCF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82E"/>
    <w:multiLevelType w:val="hybridMultilevel"/>
    <w:tmpl w:val="823E0306"/>
    <w:lvl w:ilvl="0" w:tplc="4A32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55E3"/>
    <w:multiLevelType w:val="hybridMultilevel"/>
    <w:tmpl w:val="A69E7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7361"/>
    <w:multiLevelType w:val="hybridMultilevel"/>
    <w:tmpl w:val="573062B0"/>
    <w:lvl w:ilvl="0" w:tplc="28F8095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3AAE"/>
    <w:multiLevelType w:val="hybridMultilevel"/>
    <w:tmpl w:val="D2F81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11703"/>
    <w:multiLevelType w:val="hybridMultilevel"/>
    <w:tmpl w:val="28CA15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C56F4"/>
    <w:multiLevelType w:val="hybridMultilevel"/>
    <w:tmpl w:val="2F34484E"/>
    <w:lvl w:ilvl="0" w:tplc="28F8095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A01EA"/>
    <w:multiLevelType w:val="hybridMultilevel"/>
    <w:tmpl w:val="36443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A0A79"/>
    <w:multiLevelType w:val="hybridMultilevel"/>
    <w:tmpl w:val="D2B06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06BD"/>
    <w:multiLevelType w:val="hybridMultilevel"/>
    <w:tmpl w:val="B368485A"/>
    <w:lvl w:ilvl="0" w:tplc="4A32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F0"/>
    <w:rsid w:val="001948CD"/>
    <w:rsid w:val="00242136"/>
    <w:rsid w:val="002E0421"/>
    <w:rsid w:val="003455FC"/>
    <w:rsid w:val="003A4F8B"/>
    <w:rsid w:val="003A71D1"/>
    <w:rsid w:val="00594EE4"/>
    <w:rsid w:val="005A6BA5"/>
    <w:rsid w:val="005B2279"/>
    <w:rsid w:val="005D27F0"/>
    <w:rsid w:val="00646DAD"/>
    <w:rsid w:val="006D5E64"/>
    <w:rsid w:val="00825AFC"/>
    <w:rsid w:val="00A30838"/>
    <w:rsid w:val="00A93DE2"/>
    <w:rsid w:val="00C31C92"/>
    <w:rsid w:val="00CC342D"/>
    <w:rsid w:val="00D82ABE"/>
    <w:rsid w:val="00F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6ADF6-0D85-4D06-987E-3382187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4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83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B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netball.co.uk/governance/safeguarding/club-safeguarding/" TargetMode="External"/><Relationship Id="rId13" Type="http://schemas.openxmlformats.org/officeDocument/2006/relationships/hyperlink" Target="https://www.englandnetball.co.uk/governance/safeguarding/club-safeguardi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andnetball.co.uk/governance/safeguarding/club-safeguarding/" TargetMode="External"/><Relationship Id="rId12" Type="http://schemas.openxmlformats.org/officeDocument/2006/relationships/hyperlink" Target="https://www.englandnetball.co.uk/governance/safeguarding/club-safeguarding/" TargetMode="External"/><Relationship Id="rId17" Type="http://schemas.openxmlformats.org/officeDocument/2006/relationships/hyperlink" Target="https://www.englandnetball.co.uk/governance/safeguarding/club-safeguard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andnetball.co.uk/governance/safeguarding/club-safeguard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landnetball.co.uk/governance/safeguarding/club-safeguarding/" TargetMode="External"/><Relationship Id="rId11" Type="http://schemas.openxmlformats.org/officeDocument/2006/relationships/hyperlink" Target="https://www.englandnetball.co.uk/governance/safeguarding/club-safeguarding/" TargetMode="External"/><Relationship Id="rId5" Type="http://schemas.openxmlformats.org/officeDocument/2006/relationships/hyperlink" Target="https://www.englandnetball.co.uk/governance/safeguarding/club-safeguarding/" TargetMode="External"/><Relationship Id="rId15" Type="http://schemas.openxmlformats.org/officeDocument/2006/relationships/hyperlink" Target="https://www.englandnetball.co.uk/governance/safeguarding/club-safeguarding/" TargetMode="External"/><Relationship Id="rId10" Type="http://schemas.openxmlformats.org/officeDocument/2006/relationships/hyperlink" Target="https://www.englandnetball.co.uk/governance/safeguarding/club-safeguard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netball.co.uk/governance/safeguarding/club-safeguarding/" TargetMode="External"/><Relationship Id="rId14" Type="http://schemas.openxmlformats.org/officeDocument/2006/relationships/hyperlink" Target="https://www.englandnetball.co.uk/governance/safeguarding/club-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5147572F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Hudson</dc:creator>
  <cp:keywords/>
  <dc:description/>
  <cp:lastModifiedBy>Windows User</cp:lastModifiedBy>
  <cp:revision>4</cp:revision>
  <cp:lastPrinted>2018-02-09T17:51:00Z</cp:lastPrinted>
  <dcterms:created xsi:type="dcterms:W3CDTF">2017-12-30T21:15:00Z</dcterms:created>
  <dcterms:modified xsi:type="dcterms:W3CDTF">2018-02-09T17:51:00Z</dcterms:modified>
</cp:coreProperties>
</file>